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8" w:before="0"/>
        <w:jc w:val="center"/>
      </w:pPr>
      <w:r>
        <w:rPr>
          <w:rFonts w:ascii="Arial" w:cs="Arial" w:eastAsia="Arial" w:hAnsi="Arial"/>
          <w:b/>
          <w:bCs/>
          <w:color w:val="1F3A8C"/>
          <w:sz w:val="34"/>
          <w:szCs w:val="34"/>
        </w:rPr>
        <w:t xml:space="preserve">BAXOLELE MAZWI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17"/>
          <w:szCs w:val="17"/>
        </w:rPr>
        <w:t xml:space="preserve">Johannesburg, SA  |  0661933064  |  </w:t>
      </w:r>
      <w:hyperlink r:id="rId8" w:history="1">
        <w:r>
          <w:rPr>
            <w:rStyle w:val="Hyperlink"/>
            <w:rFonts w:ascii="Arial" w:cs="Arial" w:eastAsia="Arial" w:hAnsi="Arial"/>
            <w:color w:val="1F3A8C"/>
            <w:sz w:val="17"/>
            <w:szCs w:val="17"/>
            <w:u w:val="single"/>
          </w:rPr>
          <w:t>mazwiibaxolele@gmail.com</w:t>
        </w:r>
      </w:hyperlink>
      <w:r>
        <w:rPr>
          <w:rFonts w:ascii="Arial" w:cs="Arial" w:eastAsia="Arial" w:hAnsi="Arial"/>
          <w:color w:val="555555"/>
          <w:sz w:val="17"/>
          <w:szCs w:val="17"/>
        </w:rPr>
        <w:t xml:space="preserve">  |  </w:t>
      </w:r>
      <w:hyperlink r:id="rId9" w:history="1">
        <w:r>
          <w:rPr>
            <w:rStyle w:val="Hyperlink"/>
            <w:rFonts w:ascii="Arial" w:cs="Arial" w:eastAsia="Arial" w:hAnsi="Arial"/>
            <w:color w:val="1F3A8C"/>
            <w:sz w:val="17"/>
            <w:szCs w:val="17"/>
            <w:u w:val="single"/>
          </w:rPr>
          <w:t>linkedin.com/in/baxolelemazwi-9b2322267</w:t>
        </w:r>
      </w:hyperlink>
      <w:r>
        <w:rPr>
          <w:rFonts w:ascii="Arial" w:cs="Arial" w:eastAsia="Arial" w:hAnsi="Arial"/>
          <w:color w:val="555555"/>
          <w:sz w:val="17"/>
          <w:szCs w:val="17"/>
        </w:rPr>
        <w:t xml:space="preserve">  |  </w:t>
      </w:r>
      <w:hyperlink r:id="rId10" w:history="1">
        <w:r>
          <w:rPr>
            <w:rStyle w:val="Hyperlink"/>
            <w:rFonts w:ascii="Arial" w:cs="Arial" w:eastAsia="Arial" w:hAnsi="Arial"/>
            <w:color w:val="1F3A8C"/>
            <w:sz w:val="17"/>
            <w:szCs w:val="17"/>
            <w:u w:val="single"/>
          </w:rPr>
          <w:t>mazwiibaxolele.github.io/mazwi-portfolio</w:t>
        </w:r>
      </w:hyperlink>
    </w:p>
    <w:p>
      <w:pPr>
        <w:spacing w:after="0" w:before="40"/>
      </w:pPr>
      <w:r>
        <w:t xml:space="preserve"/>
      </w:r>
    </w:p>
    <w:p>
      <w:pPr>
        <w:pBdr>
          <w:bottom w:val="single" w:color="1F3A8C" w:sz="8" w:space="2"/>
        </w:pBdr>
        <w:spacing w:after="55" w:before="150"/>
      </w:pPr>
      <w:r>
        <w:rPr>
          <w:rFonts w:ascii="Arial" w:cs="Arial" w:eastAsia="Arial" w:hAnsi="Arial"/>
          <w:b/>
          <w:bCs/>
          <w:color w:val="1F3A8C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University of the Witwatersrand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Feb 2023 – 2027 (Expected)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BSc Construction Studies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|  Johannesburg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Final-year student; coursework spans project management, quantity surveying, structural engineering, and construction economics.</w:t>
      </w:r>
    </w:p>
    <w:p>
      <w:pPr>
        <w:spacing w:after="0" w:before="55"/>
      </w:pPr>
      <w:r>
        <w:t xml:space="preserve"/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African Leadership Experience (ALX Africa)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Feb 2026 – Present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Data Engineering Specialization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Covering data pipelines, PostgreSQL, Python for data engineering, and cloud-based data workflows.</w:t>
      </w:r>
    </w:p>
    <w:p>
      <w:pPr>
        <w:spacing w:after="0" w:before="45"/>
      </w:pPr>
      <w:r>
        <w:t xml:space="preserve"/>
      </w:r>
    </w:p>
    <w:p>
      <w:pPr>
        <w:pBdr>
          <w:bottom w:val="single" w:color="1F3A8C" w:sz="8" w:space="2"/>
        </w:pBdr>
        <w:spacing w:after="55" w:before="150"/>
      </w:pPr>
      <w:r>
        <w:rPr>
          <w:rFonts w:ascii="Arial" w:cs="Arial" w:eastAsia="Arial" w:hAnsi="Arial"/>
          <w:b/>
          <w:bCs/>
          <w:color w:val="1F3A8C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WITS School of Construction Economics and Management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Apr 2026 – Present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Peer Mentor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|  Johannesburg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Coach first- and second-year students through structured academic sessions, leveraging data-informed feedback to track progress.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Facilitate group workshops covering module concepts in quantities, specifications, and construction economics.</w:t>
      </w:r>
    </w:p>
    <w:p>
      <w:pPr>
        <w:spacing w:after="0" w:before="55"/>
      </w:pPr>
      <w:r>
        <w:t xml:space="preserve"/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ASAQS – Association of South African Quantity Surveyors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Feb 2026 – Jun 2026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Quantities &amp; Specifications Tutor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|  Johannesburg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Delivered targeted tutoring covering bill of quantities preparation, measurement principles, and SANS standards.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Developed practice materials using structured data sets to help students work through pricing and specification problems.</w:t>
      </w:r>
    </w:p>
    <w:p>
      <w:pPr>
        <w:spacing w:after="0" w:before="55"/>
      </w:pPr>
      <w:r>
        <w:t xml:space="preserve"/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AZRA Developments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Jun 2025 – Jul 2025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Student Intern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|  Johannesburg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Supported on-site delivery of roadworks and retaining wall construction, verifying compliance with technical drawings.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Conducted GNSS and manual surveying to capture and validate site measurements across active construction phases.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Assisted with trench preparation and traffic accommodation to maintain on-site safety standards.</w:t>
      </w:r>
    </w:p>
    <w:p>
      <w:pPr>
        <w:spacing w:after="0" w:before="55"/>
      </w:pPr>
      <w:r>
        <w:t xml:space="preserve"/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Priotech Projects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Jun 2024 – Jun 2024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Student Intern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|  Northam, Limpopo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Supported project coordination, progress tracking, and daily reporting; gained exposure to on-site risk and planning processes.</w:t>
      </w:r>
    </w:p>
    <w:p>
      <w:pPr>
        <w:spacing w:after="0" w:before="45"/>
      </w:pPr>
      <w:r>
        <w:t xml:space="preserve"/>
      </w:r>
    </w:p>
    <w:p>
      <w:pPr>
        <w:pBdr>
          <w:bottom w:val="single" w:color="1F3A8C" w:sz="8" w:space="2"/>
        </w:pBdr>
        <w:spacing w:after="55" w:before="150"/>
      </w:pPr>
      <w:r>
        <w:rPr>
          <w:rFonts w:ascii="Arial" w:cs="Arial" w:eastAsia="Arial" w:hAnsi="Arial"/>
          <w:b/>
          <w:bCs/>
          <w:color w:val="1F3A8C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FIFA World Cup 2026 ML Prediction Model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2026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Python  |  Scikit-learn, Pandas, Dixon-Coles Poisson GLM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a statistical football prediction model trained on historical match data to forecast World Cup outcomes; predicted Spain as champion.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Implemented full data cleaning, feature engineering, and model validation pipelines for a DataCamp competition submission.</w:t>
      </w:r>
    </w:p>
    <w:p>
      <w:pPr>
        <w:spacing w:after="0" w:before="55"/>
      </w:pPr>
      <w:r>
        <w:t xml:space="preserve"/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Telco Customer Churn &amp; Retention Analysis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2025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Python (Pandas), SQL, Power BI  |  End-to-End Data Pipeline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a pipeline from raw customer data to an interactive Power BI dashboard surfacing churn KPIs, contract risk patterns, and monthly charge trends.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Identified contract type and payment method as key churn drivers through EDA, delivering actionable retention insights.</w:t>
      </w:r>
    </w:p>
    <w:p>
      <w:pPr>
        <w:spacing w:after="0" w:before="55"/>
      </w:pPr>
      <w:r>
        <w:t xml:space="preserve"/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Bank Marketing Campaign Funnel Analysis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2025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MySQL, Power BI  |  Conversion Funnel Dashboard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Extracted and transformed campaign data in MySQL; built a Power BI funnel dashboard mapping lead-to-customer drop-off stages.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Highlighted top-converting contact methods and demographic segments, enabling targeted marketing strategy decisions.</w:t>
      </w:r>
    </w:p>
    <w:p>
      <w:pPr>
        <w:spacing w:after="0" w:before="45"/>
      </w:pPr>
      <w:r>
        <w:t xml:space="preserve"/>
      </w:r>
    </w:p>
    <w:p>
      <w:pPr>
        <w:pBdr>
          <w:bottom w:val="single" w:color="1F3A8C" w:sz="8" w:space="2"/>
        </w:pBdr>
        <w:spacing w:after="55" w:before="150"/>
      </w:pPr>
      <w:r>
        <w:rPr>
          <w:rFonts w:ascii="Arial" w:cs="Arial" w:eastAsia="Arial" w:hAnsi="Arial"/>
          <w:b/>
          <w:bCs/>
          <w:color w:val="1F3A8C"/>
          <w:sz w:val="21"/>
          <w:szCs w:val="21"/>
        </w:rPr>
        <w:t xml:space="preserve">SKILLS</w:t>
      </w:r>
    </w:p>
    <w:p>
      <w:pPr>
        <w:spacing w:after="26" w:before="65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Data &amp; Analytics: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Python (Pandas, NumPy, Matplotlib, Scikit-learn), SQL (MySQL, PostgreSQL, BigQuery), Power BI, Looker Studio</w:t>
      </w:r>
    </w:p>
    <w:p>
      <w:pPr>
        <w:spacing w:after="26" w:before="26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Construction &amp; Engineering: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GNSS Surveying, Bill of Quantities, WinQS, Project Scheduling, SANS Standards</w:t>
      </w:r>
    </w:p>
    <w:p>
      <w:pPr>
        <w:spacing w:after="26" w:before="26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 &amp; Platforms: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Git/GitHub, Microsoft Excel, Jupyter Notebook, Streamlit, VS Code</w:t>
      </w:r>
    </w:p>
    <w:p>
      <w:pPr>
        <w:spacing w:after="0" w:before="45"/>
      </w:pPr>
      <w:r>
        <w:t xml:space="preserve"/>
      </w:r>
    </w:p>
    <w:p>
      <w:pPr>
        <w:pBdr>
          <w:bottom w:val="single" w:color="1F3A8C" w:sz="8" w:space="2"/>
        </w:pBdr>
        <w:spacing w:after="55" w:before="150"/>
      </w:pPr>
      <w:r>
        <w:rPr>
          <w:rFonts w:ascii="Arial" w:cs="Arial" w:eastAsia="Arial" w:hAnsi="Arial"/>
          <w:b/>
          <w:bCs/>
          <w:color w:val="1F3A8C"/>
          <w:sz w:val="21"/>
          <w:szCs w:val="21"/>
        </w:rPr>
        <w:t xml:space="preserve">CERTIFICATIONS</w:t>
      </w:r>
    </w:p>
    <w:p>
      <w:pPr>
        <w:tabs>
          <w:tab w:val="right" w:pos="9360"/>
        </w:tabs>
        <w:spacing w:after="0" w:before="65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IBM Data Analyst Professional Certificate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IBM / Coursera</w:t>
      </w:r>
    </w:p>
    <w:p>
      <w:pPr>
        <w:tabs>
          <w:tab w:val="right" w:pos="9360"/>
        </w:tabs>
        <w:spacing w:after="0" w:before="18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Associate Data Analyst  |  Associate Data Engineer  |  SQL Foundations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DataCamp</w:t>
      </w:r>
    </w:p>
    <w:p>
      <w:pPr>
        <w:tabs>
          <w:tab w:val="right" w:pos="9360"/>
        </w:tabs>
        <w:spacing w:after="0" w:before="18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WinQS Quantity Surveying System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ASAQS</w:t>
      </w:r>
    </w:p>
    <w:p>
      <w:pPr>
        <w:spacing w:after="0" w:before="45"/>
      </w:pPr>
      <w:r>
        <w:t xml:space="preserve"/>
      </w:r>
    </w:p>
    <w:p>
      <w:pPr>
        <w:pBdr>
          <w:bottom w:val="single" w:color="1F3A8C" w:sz="8" w:space="2"/>
        </w:pBdr>
        <w:spacing w:after="55" w:before="150"/>
      </w:pPr>
      <w:r>
        <w:rPr>
          <w:rFonts w:ascii="Arial" w:cs="Arial" w:eastAsia="Arial" w:hAnsi="Arial"/>
          <w:b/>
          <w:bCs/>
          <w:color w:val="1F3A8C"/>
          <w:sz w:val="21"/>
          <w:szCs w:val="21"/>
        </w:rPr>
        <w:t xml:space="preserve">LEADERSHIP &amp; EXTRACURRICULAR</w:t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CIOB Africa Novus Subcommittee – Wits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Feb 2025 – Nov 2025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Treasurer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Managed subcommittee finances and supported financial planning of student chapter activities within a professional engineering institution.</w:t>
      </w:r>
    </w:p>
    <w:p>
      <w:pPr>
        <w:spacing w:after="0" w:before="55"/>
      </w:pPr>
      <w:r>
        <w:t xml:space="preserve"/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Engineering &amp; Built Environment Student Council (EBESC)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Feb 2025 – Oct 2025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Marketing Team Member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Supported content creation and event promotion to engage the student body across the School of Construction Economics and Management.</w:t>
      </w:r>
    </w:p>
    <w:p>
      <w:pPr>
        <w:spacing w:after="0" w:before="55"/>
      </w:pPr>
      <w:r>
        <w:t xml:space="preserve"/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Wits Community Citizenship Organisation (WCCO)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Feb 2025 – Oct 2025</w:t>
      </w:r>
    </w:p>
    <w:p>
      <w:pPr>
        <w:spacing w:after="28" w:before="0"/>
      </w:pPr>
      <w:r>
        <w:rPr>
          <w:rFonts w:ascii="Arial" w:cs="Arial" w:eastAsia="Arial" w:hAnsi="Arial"/>
          <w:i/>
          <w:iCs/>
          <w:color w:val="1A1A1A"/>
          <w:sz w:val="19"/>
          <w:szCs w:val="19"/>
        </w:rPr>
        <w:t xml:space="preserve">Volunteer – Campus Soup Kitchen</w:t>
      </w:r>
    </w:p>
    <w:p>
      <w:pPr>
        <w:pStyle w:val="ListParagraph"/>
        <w:numPr>
          <w:ilvl w:val="0"/>
          <w:numId w:val="2"/>
        </w:numPr>
        <w:spacing w:after="16" w:before="16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Contributed to food preparation and distribution serving students and community members on campus.</w:t>
      </w:r>
    </w:p>
    <w:sectPr>
      <w:pgSz w:w="12240" w:h="15840" w:orient="portrait"/>
      <w:pgMar w:top="700" w:right="860" w:bottom="700" w:left="860" w:header="708" w:footer="708" w:gutter="0"/>
      <w:pgBorders w:offsetFrom="page">
        <w:top w:val="single" w:sz="18" w:space="24" w:color="1F3A8C"/>
        <w:left w:val="single" w:sz="18" w:space="24" w:color="1F3A8C"/>
        <w:bottom w:val="single" w:sz="18" w:space="24" w:color="1F3A8C"/>
        <w:right w:val="single" w:sz="18" w:space="24" w:color="1F3A8C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1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hyperlink" Target="mailto:mazwiibaxolele@gmail.com" TargetMode="External"/><Relationship Id="rId9" Type="http://schemas.openxmlformats.org/officeDocument/2006/relationships/hyperlink" Target="https://www.linkedin.com/in/baxolelemazwi-9b2322267" TargetMode="External"/><Relationship Id="rId10" Type="http://schemas.openxmlformats.org/officeDocument/2006/relationships/hyperlink" Target="https://mazwiibaxolele.github.io/mazwi-portfolio" TargetMode="Externa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2026-06-10T21:01:53.603Z</dcterms:created>
  <dcterms:modified xsi:type="dcterms:W3CDTF">2026-06-10T21:01:53.617Z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